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50" w:rsidRDefault="005052D1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椭偏仪采购</w:t>
      </w:r>
      <w:r w:rsidR="00FD588E" w:rsidRPr="00FD588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0F465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延迟</w:t>
      </w: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5052D1" w:rsidRPr="005052D1">
        <w:rPr>
          <w:rFonts w:ascii="宋体" w:eastAsia="宋体" w:hAnsi="宋体"/>
          <w:sz w:val="24"/>
          <w:szCs w:val="24"/>
        </w:rPr>
        <w:t>DZZB20230301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105BF6" w:rsidRPr="00105BF6">
        <w:rPr>
          <w:rFonts w:ascii="宋体" w:eastAsia="宋体" w:hAnsi="宋体" w:hint="eastAsia"/>
          <w:sz w:val="24"/>
          <w:szCs w:val="24"/>
        </w:rPr>
        <w:t>椭偏仪采购项目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  <w:r w:rsidR="00C63FCC">
        <w:rPr>
          <w:rFonts w:ascii="宋体" w:eastAsia="宋体" w:hAnsi="宋体" w:hint="eastAsia"/>
          <w:sz w:val="24"/>
          <w:szCs w:val="24"/>
        </w:rPr>
        <w:t>（交货地点为苏州）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105BF6" w:rsidRPr="00105BF6">
        <w:rPr>
          <w:rFonts w:ascii="宋体" w:eastAsia="宋体" w:hAnsi="宋体" w:hint="eastAsia"/>
          <w:kern w:val="0"/>
          <w:sz w:val="24"/>
          <w:szCs w:val="24"/>
        </w:rPr>
        <w:t>异质结</w:t>
      </w:r>
      <w:r w:rsidR="00105BF6" w:rsidRPr="00105BF6">
        <w:rPr>
          <w:rFonts w:ascii="宋体" w:eastAsia="宋体" w:hAnsi="宋体"/>
          <w:kern w:val="0"/>
          <w:sz w:val="24"/>
          <w:szCs w:val="24"/>
        </w:rPr>
        <w:t>PVD项目中心检测膜层厚度以及折射率的测试</w:t>
      </w:r>
      <w:r w:rsidR="00C84A17">
        <w:rPr>
          <w:rFonts w:ascii="宋体" w:eastAsia="宋体" w:hAnsi="宋体" w:hint="eastAsia"/>
          <w:kern w:val="0"/>
          <w:sz w:val="24"/>
          <w:szCs w:val="24"/>
        </w:rPr>
        <w:t>等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。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7088"/>
        <w:gridCol w:w="708"/>
        <w:gridCol w:w="435"/>
      </w:tblGrid>
      <w:tr w:rsidR="00C11EAC" w:rsidRPr="003B1167" w:rsidTr="003B1167">
        <w:trPr>
          <w:trHeight w:val="702"/>
          <w:jc w:val="center"/>
        </w:trPr>
        <w:tc>
          <w:tcPr>
            <w:tcW w:w="421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435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7F65A2" w:rsidRPr="003B1167" w:rsidTr="003B1167">
        <w:trPr>
          <w:trHeight w:val="1051"/>
          <w:jc w:val="center"/>
        </w:trPr>
        <w:tc>
          <w:tcPr>
            <w:tcW w:w="421" w:type="dxa"/>
            <w:vAlign w:val="center"/>
          </w:tcPr>
          <w:p w:rsidR="007F65A2" w:rsidRPr="003B1167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105BF6" w:rsidRPr="003B1167" w:rsidRDefault="00105BF6" w:rsidP="00105BF6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 w:hint="eastAsia"/>
                <w:sz w:val="21"/>
                <w:szCs w:val="21"/>
              </w:rPr>
              <w:t>椭</w:t>
            </w:r>
          </w:p>
          <w:p w:rsidR="00105BF6" w:rsidRPr="003B1167" w:rsidRDefault="00105BF6" w:rsidP="00105BF6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 w:hint="eastAsia"/>
                <w:sz w:val="21"/>
                <w:szCs w:val="21"/>
              </w:rPr>
              <w:t>偏</w:t>
            </w:r>
          </w:p>
          <w:p w:rsidR="007F65A2" w:rsidRPr="003B1167" w:rsidRDefault="00105BF6" w:rsidP="00105BF6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 w:hint="eastAsia"/>
                <w:sz w:val="21"/>
                <w:szCs w:val="21"/>
              </w:rPr>
              <w:t>仪</w:t>
            </w:r>
          </w:p>
        </w:tc>
        <w:tc>
          <w:tcPr>
            <w:tcW w:w="7088" w:type="dxa"/>
            <w:vAlign w:val="center"/>
          </w:tcPr>
          <w:tbl>
            <w:tblPr>
              <w:tblW w:w="6973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1021"/>
              <w:gridCol w:w="5529"/>
            </w:tblGrid>
            <w:tr w:rsidR="00105BF6" w:rsidRPr="003B1167" w:rsidTr="00BB0180">
              <w:trPr>
                <w:trHeight w:val="1112"/>
              </w:trPr>
              <w:tc>
                <w:tcPr>
                  <w:tcW w:w="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adjustRightInd w:val="0"/>
                    <w:snapToGrid w:val="0"/>
                    <w:spacing w:line="480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技</w:t>
                  </w:r>
                </w:p>
                <w:p w:rsidR="00105BF6" w:rsidRPr="00BB0180" w:rsidRDefault="00105BF6" w:rsidP="00105BF6">
                  <w:pPr>
                    <w:widowControl/>
                    <w:adjustRightInd w:val="0"/>
                    <w:snapToGrid w:val="0"/>
                    <w:spacing w:line="480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术</w:t>
                  </w:r>
                </w:p>
                <w:p w:rsidR="00105BF6" w:rsidRPr="00BB0180" w:rsidRDefault="00105BF6" w:rsidP="00105BF6">
                  <w:pPr>
                    <w:widowControl/>
                    <w:adjustRightInd w:val="0"/>
                    <w:snapToGrid w:val="0"/>
                    <w:spacing w:line="480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参</w:t>
                  </w:r>
                </w:p>
                <w:p w:rsidR="00105BF6" w:rsidRPr="00BB0180" w:rsidRDefault="00105BF6" w:rsidP="00105BF6">
                  <w:pPr>
                    <w:widowControl/>
                    <w:adjustRightInd w:val="0"/>
                    <w:snapToGrid w:val="0"/>
                    <w:spacing w:line="480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数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功能</w:t>
                  </w:r>
                </w:p>
              </w:tc>
              <w:tc>
                <w:tcPr>
                  <w:tcW w:w="5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1、测量样品包括玻璃/硅片等，表面是粗糙的或者平整的。</w:t>
                  </w:r>
                </w:p>
                <w:p w:rsid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2、膜层包括单层或多层膜。</w:t>
                  </w:r>
                </w:p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3、测量参数包括膜厚、折射率n 和消光系数k。</w:t>
                  </w:r>
                </w:p>
              </w:tc>
            </w:tr>
            <w:tr w:rsidR="00105BF6" w:rsidRPr="003B1167" w:rsidTr="00BB0180">
              <w:trPr>
                <w:trHeight w:val="419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波长范围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全光谱测量，波长范围245-930nm，波长范围更广也可以。</w:t>
                  </w:r>
                </w:p>
              </w:tc>
            </w:tr>
            <w:tr w:rsidR="00105BF6" w:rsidRPr="003B1167" w:rsidTr="00BB0180">
              <w:trPr>
                <w:trHeight w:val="411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入射角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40°-90°可手动调节，5°步进性</w:t>
                  </w:r>
                </w:p>
              </w:tc>
            </w:tr>
            <w:tr w:rsidR="00105BF6" w:rsidRPr="003B1167" w:rsidTr="00BB0180">
              <w:trPr>
                <w:trHeight w:val="416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膜厚精度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＜0.5nm（基于标准片）</w:t>
                  </w:r>
                </w:p>
              </w:tc>
            </w:tr>
            <w:tr w:rsidR="00105BF6" w:rsidRPr="003B1167" w:rsidTr="00BB0180">
              <w:trPr>
                <w:trHeight w:val="570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折射率精度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＜0.003（基于标准片）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膜厚重复性要求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&lt;0.5A（1 sigma基于标准片,10times）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折射率重复性要求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0.0005（1 sigma基于标准片,10times）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1"/>
                    </w:rPr>
                    <w:t>标片数量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kern w:val="0"/>
                      <w:sz w:val="20"/>
                      <w:szCs w:val="21"/>
                    </w:rPr>
                    <w:t>1片： SiO2 On Sicr 免清洗</w:t>
                  </w:r>
                </w:p>
              </w:tc>
            </w:tr>
            <w:tr w:rsidR="00105BF6" w:rsidRPr="003B1167" w:rsidTr="00BB0180">
              <w:trPr>
                <w:trHeight w:val="570"/>
              </w:trPr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测量范围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膜厚： 0.1nm-20μm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折射率：1.0-7.0</w:t>
                  </w:r>
                </w:p>
              </w:tc>
            </w:tr>
            <w:tr w:rsidR="00105BF6" w:rsidRPr="003B1167" w:rsidTr="00BB0180">
              <w:trPr>
                <w:trHeight w:val="794"/>
              </w:trPr>
              <w:tc>
                <w:tcPr>
                  <w:tcW w:w="4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硬</w:t>
                  </w:r>
                </w:p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件</w:t>
                  </w:r>
                </w:p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配</w:t>
                  </w:r>
                </w:p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lastRenderedPageBreak/>
                    <w:t>置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lastRenderedPageBreak/>
                    <w:t>载物台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1、自由可切换的水平 倾斜载物台 电池片正反面测试无需更换台面。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2、可测试210* 210mm 及以下的太阳能电池样品，可测量电池样品上每个点。</w:t>
                  </w:r>
                </w:p>
              </w:tc>
            </w:tr>
            <w:tr w:rsidR="00105BF6" w:rsidRPr="003B1167" w:rsidTr="00BB0180">
              <w:trPr>
                <w:trHeight w:val="570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光谱仪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1、背照式CCD 光谱仪，光谱范围190nm-1100nm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2、自由设置积分参数，分辨率18bit.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光纤光源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光源寿命至少达到</w:t>
                  </w:r>
                  <w:r w:rsidRPr="00BB0180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  <w:t>2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000小时，光源波动&lt;0.5%，光学器件使用寿命&gt;10年（供应商须免费提供3个光源作为备品备件）</w:t>
                  </w:r>
                </w:p>
              </w:tc>
            </w:tr>
            <w:tr w:rsidR="00105BF6" w:rsidRPr="003B1167" w:rsidTr="00BB0180">
              <w:trPr>
                <w:trHeight w:val="732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自动对焦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高精度高斯对焦模块，采用与测试系统相同光路，有效保证对焦的准确性,精度可达0.0001mm，软件可选全自动对焦或手动对焦或不对焦。</w:t>
                  </w:r>
                </w:p>
              </w:tc>
            </w:tr>
            <w:tr w:rsidR="00105BF6" w:rsidRPr="003B1167" w:rsidTr="00BB0180">
              <w:trPr>
                <w:trHeight w:val="706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PC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工控机 I5以上处理器；</w:t>
                  </w:r>
                  <w:r w:rsidR="008C6E81" w:rsidRPr="008C6E81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双硬盘：固态硬盘</w:t>
                  </w:r>
                  <w:r w:rsidR="008C6E81" w:rsidRPr="008C6E81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  <w:t>256G存储空间，机械硬盘1T存储空间；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8G内存，正版Windows操作系统 21寸显示器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UPS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标配</w:t>
                  </w:r>
                </w:p>
              </w:tc>
            </w:tr>
            <w:tr w:rsidR="00105BF6" w:rsidRPr="003B1167" w:rsidTr="00BB0180">
              <w:trPr>
                <w:trHeight w:val="445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软硬件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分级控制，全部参数顶级权限开放给客户自由设置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软</w:t>
                  </w:r>
                </w:p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件</w:t>
                  </w:r>
                </w:p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配</w:t>
                  </w:r>
                </w:p>
                <w:p w:rsidR="00105BF6" w:rsidRPr="00BB0180" w:rsidRDefault="00105BF6" w:rsidP="00105BF6">
                  <w:pPr>
                    <w:widowControl/>
                    <w:spacing w:line="48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置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软件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具备一键测试能力，软件永久免费升级，永久免费建模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层级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分工程师、操作员、设备管理等不同层级方便设备的管理</w:t>
                  </w:r>
                </w:p>
              </w:tc>
            </w:tr>
            <w:tr w:rsidR="00105BF6" w:rsidRPr="003B1167" w:rsidTr="00BB0180">
              <w:trPr>
                <w:trHeight w:val="285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操作便利性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可无限制的编辑波长范围，拟合区间，软硬件相关参数，数据库处理，模型导入等任意操作</w:t>
                  </w:r>
                </w:p>
              </w:tc>
            </w:tr>
            <w:tr w:rsidR="00105BF6" w:rsidRPr="003B1167" w:rsidTr="00BB0180">
              <w:trPr>
                <w:trHeight w:val="855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测量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1、系统校准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2、自动设置光学组件方位角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3、手动/自动执行用户定义的任务</w:t>
                  </w:r>
                </w:p>
              </w:tc>
            </w:tr>
            <w:tr w:rsidR="00105BF6" w:rsidRPr="003B1167" w:rsidTr="00BB0180">
              <w:trPr>
                <w:trHeight w:val="1665"/>
              </w:trPr>
              <w:tc>
                <w:tcPr>
                  <w:tcW w:w="42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1"/>
                    </w:rPr>
                    <w:t>测量结果输出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5BF6" w:rsidRPr="00BB0180" w:rsidRDefault="00105BF6" w:rsidP="00105B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1"/>
                    </w:rPr>
                  </w:pP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t>1、可提供 Dispersion Roughness等分析模型，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2、易于使用、用户可扩展的材料数据库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3、自定义分析波长，折射率梯度，粗造度等分析，提供模拟材料光谱图形等。</w:t>
                  </w:r>
                  <w:r w:rsidRPr="00BB018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1"/>
                    </w:rPr>
                    <w:br/>
                    <w:t>3、自动输出厚度，折射率，吸收系数等数据，结果具备自动保存，自动汇总功能。</w:t>
                  </w:r>
                </w:p>
              </w:tc>
            </w:tr>
          </w:tbl>
          <w:p w:rsidR="007F65A2" w:rsidRPr="003B1167" w:rsidRDefault="007F65A2" w:rsidP="00FD588E">
            <w:pPr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F65A2" w:rsidRPr="003B1167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/>
                <w:sz w:val="21"/>
                <w:szCs w:val="21"/>
              </w:rPr>
              <w:lastRenderedPageBreak/>
              <w:t>1</w:t>
            </w:r>
          </w:p>
        </w:tc>
        <w:tc>
          <w:tcPr>
            <w:tcW w:w="435" w:type="dxa"/>
            <w:vAlign w:val="center"/>
          </w:tcPr>
          <w:p w:rsidR="007F65A2" w:rsidRPr="003B1167" w:rsidRDefault="007F65A2" w:rsidP="007F65A2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3B1167">
              <w:rPr>
                <w:rFonts w:ascii="宋体" w:hAnsi="宋体"/>
                <w:sz w:val="21"/>
                <w:szCs w:val="21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9400BA" w:rsidRPr="008B1216" w:rsidRDefault="009400BA" w:rsidP="008B1216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3、必须能提供增值税专用发票；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4、注册地址为国内；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/>
          <w:sz w:val="24"/>
          <w:szCs w:val="24"/>
        </w:rPr>
        <w:t>5</w:t>
      </w:r>
      <w:r w:rsidRPr="00112C51">
        <w:rPr>
          <w:rFonts w:ascii="宋体" w:eastAsia="宋体" w:hAnsi="宋体" w:hint="eastAsia"/>
          <w:sz w:val="24"/>
          <w:szCs w:val="24"/>
        </w:rPr>
        <w:t>、须提供以下资质证明文件：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1）、营业执照；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2）、银行开户许可证；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4）、投标方须提供经营场所的租赁合同或房产证复印件；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112C51">
        <w:rPr>
          <w:rFonts w:ascii="宋体" w:eastAsia="宋体" w:hAnsi="宋体"/>
          <w:sz w:val="24"/>
          <w:szCs w:val="24"/>
        </w:rPr>
        <w:t>5）、</w:t>
      </w:r>
      <w:r w:rsidRPr="00112C51">
        <w:rPr>
          <w:rFonts w:ascii="宋体" w:eastAsia="宋体" w:hAnsi="宋体" w:hint="eastAsia"/>
          <w:sz w:val="24"/>
          <w:szCs w:val="24"/>
        </w:rPr>
        <w:t>产品资料说明书；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</w:t>
      </w:r>
      <w:r w:rsidRPr="00112C51">
        <w:rPr>
          <w:rFonts w:ascii="宋体" w:eastAsia="宋体" w:hAnsi="宋体"/>
          <w:sz w:val="24"/>
          <w:szCs w:val="24"/>
        </w:rPr>
        <w:t>6</w:t>
      </w:r>
      <w:r w:rsidRPr="00112C51">
        <w:rPr>
          <w:rFonts w:ascii="宋体" w:eastAsia="宋体" w:hAnsi="宋体" w:hint="eastAsia"/>
          <w:sz w:val="24"/>
          <w:szCs w:val="24"/>
        </w:rPr>
        <w:t>）、</w:t>
      </w:r>
      <w:r w:rsidRPr="00112C51">
        <w:rPr>
          <w:rFonts w:ascii="宋体" w:eastAsia="宋体" w:hAnsi="宋体"/>
          <w:sz w:val="24"/>
          <w:szCs w:val="24"/>
        </w:rPr>
        <w:t>投标人认为有必要提供的声明及其他资质证明文件</w:t>
      </w:r>
      <w:r w:rsidRPr="00112C51">
        <w:rPr>
          <w:rFonts w:ascii="宋体" w:eastAsia="宋体" w:hAnsi="宋体" w:hint="eastAsia"/>
          <w:sz w:val="24"/>
          <w:szCs w:val="24"/>
        </w:rPr>
        <w:t>。</w:t>
      </w:r>
    </w:p>
    <w:p w:rsidR="00FC5EE4" w:rsidRPr="00112C51" w:rsidRDefault="00FC5EE4" w:rsidP="00112C51">
      <w:pPr>
        <w:spacing w:line="480" w:lineRule="auto"/>
        <w:rPr>
          <w:rFonts w:ascii="宋体" w:eastAsia="宋体" w:hAnsi="宋体"/>
          <w:sz w:val="24"/>
          <w:szCs w:val="24"/>
        </w:rPr>
      </w:pPr>
      <w:r w:rsidRPr="00112C51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3B1167" w:rsidRDefault="003B1167" w:rsidP="008B1216">
      <w:pPr>
        <w:spacing w:line="480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</w:t>
      </w:r>
      <w:r w:rsidR="00FC5EE4">
        <w:rPr>
          <w:rFonts w:ascii="宋体" w:eastAsia="宋体" w:hAnsi="宋体" w:hint="eastAsia"/>
          <w:b/>
          <w:sz w:val="30"/>
          <w:szCs w:val="30"/>
        </w:rPr>
        <w:t>、评标标准：</w:t>
      </w:r>
    </w:p>
    <w:p w:rsidR="00112C51" w:rsidRPr="00112C51" w:rsidRDefault="00112C51" w:rsidP="00112C51">
      <w:pPr>
        <w:pStyle w:val="a5"/>
        <w:widowControl w:val="0"/>
        <w:tabs>
          <w:tab w:val="left" w:pos="0"/>
        </w:tabs>
        <w:spacing w:before="0" w:beforeAutospacing="0" w:after="0" w:afterAutospacing="0" w:line="360" w:lineRule="auto"/>
        <w:ind w:firstLineChars="200" w:firstLine="480"/>
        <w:jc w:val="both"/>
      </w:pPr>
      <w:r w:rsidRPr="00112C51">
        <w:rPr>
          <w:rFonts w:hint="eastAsia"/>
        </w:rPr>
        <w:t>鉴于我公司按功能参数要求进行招标，在开标时以投标方投标文件为主（</w:t>
      </w:r>
      <w:r w:rsidRPr="00112C51">
        <w:rPr>
          <w:rFonts w:hint="eastAsia"/>
          <w:color w:val="FF0000"/>
        </w:rPr>
        <w:t>必须随附产品资料，未提供的作废标处理</w:t>
      </w:r>
      <w:r w:rsidRPr="00112C51">
        <w:rPr>
          <w:rFonts w:hint="eastAsia"/>
        </w:rPr>
        <w:t>），确认投标产品是否满足我司需求，综合交期、价格、付款方式折换成“综合价格”进行评比。</w:t>
      </w:r>
    </w:p>
    <w:p w:rsidR="00112C51" w:rsidRPr="00112C51" w:rsidRDefault="00112C51" w:rsidP="00112C51">
      <w:pPr>
        <w:pStyle w:val="a5"/>
        <w:widowControl w:val="0"/>
        <w:tabs>
          <w:tab w:val="left" w:pos="0"/>
        </w:tabs>
        <w:spacing w:before="0" w:beforeAutospacing="0" w:after="0" w:afterAutospacing="0" w:line="360" w:lineRule="auto"/>
        <w:ind w:firstLineChars="200" w:firstLine="480"/>
        <w:jc w:val="both"/>
      </w:pPr>
      <w:r w:rsidRPr="00112C51">
        <w:rPr>
          <w:rFonts w:hint="eastAsia"/>
        </w:rPr>
        <w:t>细则：</w:t>
      </w:r>
    </w:p>
    <w:p w:rsidR="00112C51" w:rsidRPr="00112C51" w:rsidRDefault="00112C51" w:rsidP="00112C51">
      <w:pPr>
        <w:pStyle w:val="a5"/>
        <w:widowControl w:val="0"/>
        <w:tabs>
          <w:tab w:val="left" w:pos="0"/>
        </w:tabs>
        <w:spacing w:before="0" w:beforeAutospacing="0" w:after="0" w:afterAutospacing="0" w:line="360" w:lineRule="auto"/>
        <w:ind w:firstLineChars="200" w:firstLine="480"/>
        <w:jc w:val="both"/>
      </w:pPr>
      <w:r w:rsidRPr="00112C51">
        <w:rPr>
          <w:rFonts w:hint="eastAsia"/>
        </w:rPr>
        <w:t>（1）、按投标价格进行计算。</w:t>
      </w:r>
    </w:p>
    <w:p w:rsidR="00112C51" w:rsidRPr="00112C51" w:rsidRDefault="00112C51" w:rsidP="00112C51">
      <w:pPr>
        <w:pStyle w:val="a5"/>
        <w:widowControl w:val="0"/>
        <w:tabs>
          <w:tab w:val="left" w:pos="0"/>
        </w:tabs>
        <w:spacing w:before="0" w:beforeAutospacing="0" w:after="0" w:afterAutospacing="0" w:line="360" w:lineRule="auto"/>
        <w:ind w:firstLineChars="200" w:firstLine="480"/>
        <w:jc w:val="both"/>
      </w:pPr>
      <w:r w:rsidRPr="00112C51">
        <w:rPr>
          <w:rFonts w:hint="eastAsia"/>
        </w:rPr>
        <w:t>（2）、综合价格=投标价格</w:t>
      </w:r>
      <w:r w:rsidRPr="00112C51">
        <w:t>*</w:t>
      </w:r>
      <w:r w:rsidRPr="00112C51">
        <w:rPr>
          <w:rFonts w:hint="eastAsia"/>
        </w:rPr>
        <w:t>交期系数*付款方式系数。</w:t>
      </w:r>
    </w:p>
    <w:p w:rsidR="00112C51" w:rsidRPr="00112C51" w:rsidRDefault="00112C51" w:rsidP="00112C51">
      <w:pPr>
        <w:pStyle w:val="a5"/>
        <w:widowControl w:val="0"/>
        <w:tabs>
          <w:tab w:val="left" w:pos="0"/>
        </w:tabs>
        <w:spacing w:before="0" w:beforeAutospacing="0" w:after="0" w:afterAutospacing="0" w:line="360" w:lineRule="auto"/>
        <w:ind w:firstLineChars="200" w:firstLine="480"/>
        <w:jc w:val="both"/>
      </w:pPr>
      <w:r w:rsidRPr="00112C51">
        <w:rPr>
          <w:rFonts w:hint="eastAsia"/>
        </w:rPr>
        <w:t>（3）、交期系数：交期为合同签订后90天内的，交期系数为100%；交期为合同签订后80天内的，交期系数为99%；交期为合同签订后7</w:t>
      </w:r>
      <w:r w:rsidRPr="00112C51">
        <w:t>0</w:t>
      </w:r>
      <w:r w:rsidRPr="00112C51">
        <w:rPr>
          <w:rFonts w:hint="eastAsia"/>
        </w:rPr>
        <w:t>天内的，交期系数为98%；交期超过合同签订后90天内的，废标。</w:t>
      </w:r>
    </w:p>
    <w:p w:rsidR="00112C51" w:rsidRPr="00112C51" w:rsidRDefault="00112C51" w:rsidP="00112C51">
      <w:pPr>
        <w:pStyle w:val="a5"/>
        <w:widowControl w:val="0"/>
        <w:tabs>
          <w:tab w:val="left" w:pos="0"/>
        </w:tabs>
        <w:spacing w:before="0" w:beforeAutospacing="0" w:after="0" w:afterAutospacing="0" w:line="360" w:lineRule="auto"/>
        <w:ind w:firstLineChars="200" w:firstLine="480"/>
        <w:jc w:val="both"/>
      </w:pPr>
      <w:r w:rsidRPr="00112C51">
        <w:rPr>
          <w:rFonts w:hint="eastAsia"/>
        </w:rPr>
        <w:t>（4）、付款方式系数：合同签订后预付50%，验收合格后付40%，质保金10%一年后付款，该系数为97%；合同签订后预付50%，发货前支付30%，验收合格后付余款，该系数为98%；合同签订后预付50%，发货前支付40%，验收合格后付余款，该系数为99%；合同签订后预付50%，发货前支付50%，该系数为100%；付款方式不符合要求的，废标。</w:t>
      </w:r>
    </w:p>
    <w:p w:rsidR="00FC5EE4" w:rsidRDefault="00112C51" w:rsidP="00112C51">
      <w:pPr>
        <w:spacing w:line="480" w:lineRule="auto"/>
        <w:ind w:firstLineChars="200" w:firstLine="480"/>
        <w:rPr>
          <w:rFonts w:ascii="宋体" w:eastAsia="宋体" w:hAnsi="宋体"/>
          <w:b/>
          <w:sz w:val="30"/>
          <w:szCs w:val="30"/>
        </w:rPr>
      </w:pPr>
      <w:r w:rsidRPr="00112C51">
        <w:rPr>
          <w:rFonts w:ascii="宋体" w:eastAsia="宋体" w:hAnsi="宋体" w:hint="eastAsia"/>
          <w:sz w:val="24"/>
          <w:szCs w:val="24"/>
        </w:rPr>
        <w:t>按如上标准评选出中标供应商及备用供应商各一名。如中标供应商不能履行合同约定，则启用备用供应商。</w:t>
      </w:r>
    </w:p>
    <w:p w:rsidR="00FC5EE4" w:rsidRDefault="00FC5EE4" w:rsidP="008B1216">
      <w:pPr>
        <w:spacing w:line="480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四、样品试用：</w:t>
      </w:r>
    </w:p>
    <w:p w:rsidR="00112C51" w:rsidRPr="00112C51" w:rsidRDefault="00112C51" w:rsidP="00112C51">
      <w:pPr>
        <w:spacing w:line="48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112C51">
        <w:rPr>
          <w:rFonts w:ascii="宋体" w:eastAsia="宋体" w:hAnsi="宋体" w:hint="eastAsia"/>
          <w:bCs/>
          <w:sz w:val="24"/>
          <w:szCs w:val="24"/>
        </w:rPr>
        <w:t>中标供应商须提供标准样块（包含样块标准数据），通过标准样测试结果和标准数据进行比对，评估仪器测量精度、重复性等核心性能，比对后符合要求方能签订采购合同。</w:t>
      </w:r>
    </w:p>
    <w:p w:rsidR="00FC5EE4" w:rsidRPr="00112C51" w:rsidRDefault="00112C51" w:rsidP="00112C51">
      <w:pPr>
        <w:spacing w:line="480" w:lineRule="auto"/>
        <w:ind w:firstLineChars="200" w:firstLine="480"/>
        <w:rPr>
          <w:rFonts w:ascii="宋体" w:eastAsia="宋体" w:hAnsi="宋体"/>
          <w:bCs/>
        </w:rPr>
      </w:pPr>
      <w:r w:rsidRPr="00112C51">
        <w:rPr>
          <w:rFonts w:ascii="宋体" w:eastAsia="宋体" w:hAnsi="宋体" w:hint="eastAsia"/>
          <w:bCs/>
          <w:sz w:val="24"/>
          <w:szCs w:val="24"/>
        </w:rPr>
        <w:t>试用样块需满足以下要求：膜厚精度＜0.5nm（基于标准片），折射率精度＜0.003（基于标准片），膜厚重复性要求&lt;0.5A（1 sigma基于标准片,10times），折射率重复性要求0.0005（1 sigma基于标准片,10times）</w:t>
      </w:r>
    </w:p>
    <w:p w:rsidR="009001F2" w:rsidRPr="008B1216" w:rsidRDefault="00FC5EE4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五</w:t>
      </w:r>
      <w:r w:rsidR="009001F2" w:rsidRPr="008B1216">
        <w:rPr>
          <w:rFonts w:ascii="宋体" w:eastAsia="宋体" w:hAnsi="宋体" w:hint="eastAsia"/>
          <w:b/>
          <w:sz w:val="30"/>
          <w:szCs w:val="30"/>
        </w:rPr>
        <w:t>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="00FD588E" w:rsidRPr="00AA3323">
        <w:rPr>
          <w:rStyle w:val="a3"/>
          <w:rFonts w:ascii="宋体" w:eastAsia="宋体" w:hAnsi="宋体"/>
          <w:b w:val="0"/>
          <w:sz w:val="24"/>
          <w:szCs w:val="24"/>
        </w:rPr>
        <w:t>3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112C51" w:rsidRPr="00AA3323">
        <w:rPr>
          <w:rStyle w:val="a3"/>
          <w:rFonts w:ascii="宋体" w:eastAsia="宋体" w:hAnsi="宋体"/>
          <w:b w:val="0"/>
          <w:sz w:val="24"/>
          <w:szCs w:val="24"/>
        </w:rPr>
        <w:t>21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 xml:space="preserve">10:00 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时至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="00112C51" w:rsidRPr="00AA3323">
        <w:rPr>
          <w:rStyle w:val="a3"/>
          <w:rFonts w:ascii="宋体" w:eastAsia="宋体" w:hAnsi="宋体"/>
          <w:b w:val="0"/>
          <w:sz w:val="24"/>
          <w:szCs w:val="24"/>
        </w:rPr>
        <w:t>4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112C51" w:rsidRPr="00AA3323">
        <w:rPr>
          <w:rStyle w:val="a3"/>
          <w:rFonts w:ascii="宋体" w:eastAsia="宋体" w:hAnsi="宋体"/>
          <w:b w:val="0"/>
          <w:sz w:val="24"/>
          <w:szCs w:val="24"/>
        </w:rPr>
        <w:t>3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 xml:space="preserve">16:00 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AA3323" w:rsidRPr="00AA3323" w:rsidRDefault="00AA3323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现延迟</w:t>
      </w:r>
      <w:r w:rsidRPr="005E332C">
        <w:rPr>
          <w:rStyle w:val="a3"/>
          <w:rFonts w:ascii="宋体" w:eastAsia="宋体" w:hAnsi="宋体" w:hint="eastAsia"/>
          <w:color w:val="FF0000"/>
          <w:sz w:val="24"/>
          <w:szCs w:val="24"/>
        </w:rPr>
        <w:t>项目报名</w:t>
      </w:r>
      <w:r>
        <w:rPr>
          <w:rStyle w:val="a3"/>
          <w:rFonts w:ascii="宋体" w:eastAsia="宋体" w:hAnsi="宋体" w:hint="eastAsia"/>
          <w:color w:val="FF0000"/>
          <w:sz w:val="24"/>
          <w:szCs w:val="24"/>
        </w:rPr>
        <w:t>截止</w:t>
      </w:r>
      <w:r w:rsidRPr="005E332C">
        <w:rPr>
          <w:rStyle w:val="a3"/>
          <w:rFonts w:ascii="宋体" w:eastAsia="宋体" w:hAnsi="宋体" w:hint="eastAsia"/>
          <w:color w:val="FF0000"/>
          <w:sz w:val="24"/>
          <w:szCs w:val="24"/>
        </w:rPr>
        <w:t>时间</w:t>
      </w:r>
      <w:r>
        <w:rPr>
          <w:rStyle w:val="a3"/>
          <w:rFonts w:ascii="宋体" w:eastAsia="宋体" w:hAnsi="宋体" w:hint="eastAsia"/>
          <w:color w:val="FF0000"/>
          <w:sz w:val="24"/>
          <w:szCs w:val="24"/>
        </w:rPr>
        <w:t>至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：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2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23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年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4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月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7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日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：0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时</w:t>
      </w:r>
    </w:p>
    <w:p w:rsidR="000060BC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="00112C51" w:rsidRPr="00AA3323">
        <w:rPr>
          <w:rStyle w:val="a3"/>
          <w:rFonts w:ascii="宋体" w:eastAsia="宋体" w:hAnsi="宋体"/>
          <w:b w:val="0"/>
          <w:sz w:val="24"/>
          <w:szCs w:val="24"/>
        </w:rPr>
        <w:t>4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112C51" w:rsidRPr="00AA3323">
        <w:rPr>
          <w:rStyle w:val="a3"/>
          <w:rFonts w:ascii="宋体" w:eastAsia="宋体" w:hAnsi="宋体"/>
          <w:b w:val="0"/>
          <w:sz w:val="24"/>
          <w:szCs w:val="24"/>
        </w:rPr>
        <w:t>4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 xml:space="preserve">12:00 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AA3323" w:rsidRPr="00AA3323" w:rsidRDefault="00AA3323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现延迟投标文件</w:t>
      </w:r>
      <w:r w:rsidRPr="009F23E9">
        <w:rPr>
          <w:rStyle w:val="a3"/>
          <w:rFonts w:ascii="宋体" w:eastAsia="宋体" w:hAnsi="宋体" w:hint="eastAsia"/>
          <w:color w:val="FF0000"/>
          <w:sz w:val="24"/>
          <w:szCs w:val="24"/>
        </w:rPr>
        <w:t>递交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截止时间</w:t>
      </w:r>
      <w:r>
        <w:rPr>
          <w:rStyle w:val="a3"/>
          <w:rFonts w:ascii="宋体" w:eastAsia="宋体" w:hAnsi="宋体" w:hint="eastAsia"/>
          <w:color w:val="FF0000"/>
          <w:sz w:val="24"/>
          <w:szCs w:val="24"/>
        </w:rPr>
        <w:t>至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：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2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23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年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4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月</w:t>
      </w:r>
      <w:r w:rsidR="007E052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10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日</w:t>
      </w:r>
      <w:r w:rsidR="007E052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：0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时</w:t>
      </w:r>
    </w:p>
    <w:p w:rsidR="000060BC" w:rsidRPr="00AA3323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项目开标时间：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>2023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="00112C51" w:rsidRPr="00AA3323">
        <w:rPr>
          <w:rStyle w:val="a3"/>
          <w:rFonts w:ascii="宋体" w:eastAsia="宋体" w:hAnsi="宋体"/>
          <w:b w:val="0"/>
          <w:sz w:val="24"/>
          <w:szCs w:val="24"/>
        </w:rPr>
        <w:t>4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7E0524">
        <w:rPr>
          <w:rStyle w:val="a3"/>
          <w:rFonts w:ascii="宋体" w:eastAsia="宋体" w:hAnsi="宋体"/>
          <w:b w:val="0"/>
          <w:sz w:val="24"/>
          <w:szCs w:val="24"/>
        </w:rPr>
        <w:t>11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AA3323">
        <w:rPr>
          <w:rStyle w:val="a3"/>
          <w:rFonts w:ascii="宋体" w:eastAsia="宋体" w:hAnsi="宋体"/>
          <w:b w:val="0"/>
          <w:sz w:val="24"/>
          <w:szCs w:val="24"/>
        </w:rPr>
        <w:t xml:space="preserve">14:30 </w:t>
      </w: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AA3323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AA3323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AA3323">
        <w:rPr>
          <w:rFonts w:ascii="宋体" w:eastAsia="宋体" w:hAnsi="宋体" w:cs="宋体" w:hint="eastAsia"/>
          <w:sz w:val="24"/>
          <w:szCs w:val="24"/>
        </w:rPr>
        <w:t>深圳市宝安区福永街道重庆路1</w:t>
      </w:r>
      <w:r w:rsidR="0015570E" w:rsidRPr="00AA3323">
        <w:rPr>
          <w:rFonts w:ascii="宋体" w:eastAsia="宋体" w:hAnsi="宋体" w:cs="宋体"/>
          <w:sz w:val="24"/>
          <w:szCs w:val="24"/>
        </w:rPr>
        <w:t>2</w:t>
      </w:r>
      <w:r w:rsidR="009001F2" w:rsidRPr="00AA3323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4栋</w:t>
      </w:r>
    </w:p>
    <w:p w:rsidR="006C625D" w:rsidRPr="008B1216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3304E4" w:rsidRPr="008B1216" w:rsidRDefault="003304E4" w:rsidP="008B1216">
      <w:pPr>
        <w:spacing w:line="480" w:lineRule="auto"/>
        <w:rPr>
          <w:rStyle w:val="a3"/>
          <w:rFonts w:ascii="宋体" w:eastAsia="宋体" w:hAnsi="宋体"/>
          <w:b w:val="0"/>
          <w:bCs w:val="0"/>
          <w:sz w:val="24"/>
          <w:szCs w:val="24"/>
        </w:rPr>
      </w:pPr>
    </w:p>
    <w:p w:rsidR="00F346FE" w:rsidRPr="008B1216" w:rsidRDefault="008A593B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六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8B1216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0755－86632735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4309AF">
        <w:rPr>
          <w:rFonts w:ascii="宋体" w:eastAsia="宋体" w:hAnsi="宋体" w:cs="宋体"/>
          <w:kern w:val="0"/>
          <w:sz w:val="24"/>
        </w:rPr>
        <w:t>4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4309AF">
        <w:rPr>
          <w:rFonts w:ascii="宋体" w:eastAsia="宋体" w:hAnsi="宋体" w:cs="宋体"/>
          <w:kern w:val="0"/>
          <w:sz w:val="24"/>
        </w:rPr>
        <w:t>6</w:t>
      </w:r>
      <w:bookmarkStart w:id="0" w:name="_GoBack"/>
      <w:bookmarkEnd w:id="0"/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78" w:rsidRDefault="00773C78"/>
  </w:endnote>
  <w:endnote w:type="continuationSeparator" w:id="0">
    <w:p w:rsidR="00773C78" w:rsidRDefault="00773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78" w:rsidRDefault="00773C78"/>
  </w:footnote>
  <w:footnote w:type="continuationSeparator" w:id="0">
    <w:p w:rsidR="00773C78" w:rsidRDefault="00773C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E5197"/>
    <w:rsid w:val="000F3AD5"/>
    <w:rsid w:val="000F4650"/>
    <w:rsid w:val="000F5021"/>
    <w:rsid w:val="00100ED5"/>
    <w:rsid w:val="00105BF6"/>
    <w:rsid w:val="0010792D"/>
    <w:rsid w:val="00112C51"/>
    <w:rsid w:val="00116F56"/>
    <w:rsid w:val="0013778C"/>
    <w:rsid w:val="0015570E"/>
    <w:rsid w:val="00160F7B"/>
    <w:rsid w:val="001816D7"/>
    <w:rsid w:val="00190342"/>
    <w:rsid w:val="001B0D7F"/>
    <w:rsid w:val="001B21C8"/>
    <w:rsid w:val="001E686A"/>
    <w:rsid w:val="001F5076"/>
    <w:rsid w:val="00202E57"/>
    <w:rsid w:val="00223A8C"/>
    <w:rsid w:val="00230632"/>
    <w:rsid w:val="00286336"/>
    <w:rsid w:val="002B08AF"/>
    <w:rsid w:val="002C2823"/>
    <w:rsid w:val="002D1C63"/>
    <w:rsid w:val="002F7F62"/>
    <w:rsid w:val="00316732"/>
    <w:rsid w:val="003304E4"/>
    <w:rsid w:val="00342649"/>
    <w:rsid w:val="003B1167"/>
    <w:rsid w:val="003E4485"/>
    <w:rsid w:val="00411B64"/>
    <w:rsid w:val="0041399E"/>
    <w:rsid w:val="00417E9E"/>
    <w:rsid w:val="004309AF"/>
    <w:rsid w:val="0045445A"/>
    <w:rsid w:val="004547EC"/>
    <w:rsid w:val="00477F22"/>
    <w:rsid w:val="004B4D4A"/>
    <w:rsid w:val="004B667C"/>
    <w:rsid w:val="0050329F"/>
    <w:rsid w:val="005052D1"/>
    <w:rsid w:val="0050735D"/>
    <w:rsid w:val="0052264B"/>
    <w:rsid w:val="00530E90"/>
    <w:rsid w:val="00550EDA"/>
    <w:rsid w:val="0055659C"/>
    <w:rsid w:val="00587B76"/>
    <w:rsid w:val="005B6722"/>
    <w:rsid w:val="0064638F"/>
    <w:rsid w:val="00657490"/>
    <w:rsid w:val="006627C5"/>
    <w:rsid w:val="00663C7D"/>
    <w:rsid w:val="00671E69"/>
    <w:rsid w:val="00684310"/>
    <w:rsid w:val="006C4E2A"/>
    <w:rsid w:val="006C625D"/>
    <w:rsid w:val="006E7E80"/>
    <w:rsid w:val="007035C3"/>
    <w:rsid w:val="007202A7"/>
    <w:rsid w:val="00743412"/>
    <w:rsid w:val="00773C78"/>
    <w:rsid w:val="007817E5"/>
    <w:rsid w:val="007E0524"/>
    <w:rsid w:val="007E2072"/>
    <w:rsid w:val="007F65A2"/>
    <w:rsid w:val="00805805"/>
    <w:rsid w:val="0088282B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A01F3"/>
    <w:rsid w:val="009E2EE4"/>
    <w:rsid w:val="009F4A76"/>
    <w:rsid w:val="009F504F"/>
    <w:rsid w:val="00A359FD"/>
    <w:rsid w:val="00A503E3"/>
    <w:rsid w:val="00A54063"/>
    <w:rsid w:val="00A63EA0"/>
    <w:rsid w:val="00A6684D"/>
    <w:rsid w:val="00A66B26"/>
    <w:rsid w:val="00A86EA8"/>
    <w:rsid w:val="00AA3323"/>
    <w:rsid w:val="00AD514F"/>
    <w:rsid w:val="00AF153F"/>
    <w:rsid w:val="00B17760"/>
    <w:rsid w:val="00B278B7"/>
    <w:rsid w:val="00B4198B"/>
    <w:rsid w:val="00BB0180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2547F"/>
    <w:rsid w:val="00E35FA0"/>
    <w:rsid w:val="00E477B9"/>
    <w:rsid w:val="00E50427"/>
    <w:rsid w:val="00E72E1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2492A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30</cp:revision>
  <dcterms:created xsi:type="dcterms:W3CDTF">2022-11-16T02:11:00Z</dcterms:created>
  <dcterms:modified xsi:type="dcterms:W3CDTF">2023-04-06T01:14:00Z</dcterms:modified>
</cp:coreProperties>
</file>